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15935" w14:textId="72416EA1" w:rsidR="0021417E" w:rsidRPr="00B266B0" w:rsidRDefault="0021417E" w:rsidP="0021417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103BD">
        <w:rPr>
          <w:bCs/>
          <w:noProof w:val="0"/>
          <w:sz w:val="24"/>
          <w:szCs w:val="24"/>
        </w:rPr>
        <w:t>04287</w:t>
      </w:r>
    </w:p>
    <w:p w14:paraId="086825CB" w14:textId="52D89655" w:rsidR="0021417E" w:rsidRPr="00465587" w:rsidRDefault="0021417E" w:rsidP="0021417E">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Pr>
          <w:rFonts w:eastAsia="SimSun"/>
          <w:noProof w:val="0"/>
          <w:sz w:val="24"/>
          <w:szCs w:val="24"/>
          <w:lang w:eastAsia="zh-CN"/>
        </w:rPr>
        <w:tab/>
      </w:r>
      <w:r w:rsidR="00FD6A6B" w:rsidRPr="007103BD">
        <w:rPr>
          <w:rFonts w:eastAsia="SimSun"/>
          <w:i/>
          <w:noProof w:val="0"/>
          <w:sz w:val="16"/>
          <w:szCs w:val="16"/>
          <w:lang w:eastAsia="zh-CN"/>
        </w:rPr>
        <w:t>Revision of R2-1900615</w:t>
      </w:r>
    </w:p>
    <w:p w14:paraId="1E7E8090" w14:textId="77777777" w:rsidR="0021417E" w:rsidRPr="00B266B0" w:rsidRDefault="0021417E" w:rsidP="0021417E">
      <w:pPr>
        <w:pStyle w:val="Header"/>
        <w:rPr>
          <w:bCs/>
          <w:noProof w:val="0"/>
          <w:sz w:val="24"/>
        </w:rPr>
      </w:pPr>
    </w:p>
    <w:p w14:paraId="7616E768" w14:textId="77777777" w:rsidR="0021417E" w:rsidRPr="00B266B0" w:rsidRDefault="0021417E" w:rsidP="0021417E">
      <w:pPr>
        <w:pStyle w:val="Header"/>
        <w:rPr>
          <w:bCs/>
          <w:noProof w:val="0"/>
          <w:sz w:val="24"/>
        </w:rPr>
      </w:pPr>
    </w:p>
    <w:p w14:paraId="67B86B7A" w14:textId="533E0921" w:rsidR="0021417E" w:rsidRPr="00B266B0" w:rsidRDefault="0021417E" w:rsidP="0021417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83C5A">
        <w:rPr>
          <w:rFonts w:cs="Arial"/>
          <w:b/>
          <w:bCs/>
          <w:sz w:val="24"/>
          <w:lang w:eastAsia="ja-JP"/>
        </w:rPr>
        <w:t>12.3.3.1</w:t>
      </w:r>
    </w:p>
    <w:p w14:paraId="29001A56" w14:textId="77777777" w:rsidR="0021417E" w:rsidRPr="00B266B0" w:rsidRDefault="0021417E" w:rsidP="0021417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5BE90BE" w14:textId="11AE96C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39D8">
        <w:rPr>
          <w:rFonts w:ascii="Arial" w:hAnsi="Arial" w:cs="Arial"/>
          <w:b/>
          <w:bCs/>
          <w:sz w:val="24"/>
        </w:rPr>
        <w:t>Optimizations for Conditional Handover</w:t>
      </w:r>
      <w:r w:rsidR="00BF1B1C">
        <w:rPr>
          <w:rFonts w:ascii="Arial" w:hAnsi="Arial" w:cs="Arial"/>
          <w:b/>
          <w:bCs/>
          <w:sz w:val="24"/>
        </w:rPr>
        <w:t xml:space="preserve"> in E-UTRAN</w:t>
      </w:r>
    </w:p>
    <w:p w14:paraId="3AC3A0B1" w14:textId="3EBAE316"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13B83" w:rsidRPr="00E56FFE">
        <w:rPr>
          <w:rFonts w:ascii="Arial" w:hAnsi="Arial" w:cs="Arial"/>
          <w:b/>
          <w:bCs/>
          <w:sz w:val="24"/>
        </w:rPr>
        <w:t>LTE_feMob</w:t>
      </w:r>
      <w:proofErr w:type="spellEnd"/>
      <w:r w:rsidR="00413B83" w:rsidRPr="00E56FFE">
        <w:rPr>
          <w:rFonts w:ascii="Arial" w:hAnsi="Arial" w:cs="Arial"/>
          <w:b/>
          <w:bCs/>
          <w:sz w:val="24"/>
        </w:rPr>
        <w:t>-Core</w:t>
      </w:r>
      <w:r w:rsidR="00413B83" w:rsidRPr="00112F1A">
        <w:rPr>
          <w:rFonts w:ascii="Arial" w:hAnsi="Arial" w:cs="Arial"/>
          <w:b/>
          <w:bCs/>
          <w:sz w:val="24"/>
        </w:rPr>
        <w:t xml:space="preserve"> </w:t>
      </w:r>
      <w:r w:rsidR="00413B83">
        <w:rPr>
          <w:rFonts w:ascii="Arial" w:hAnsi="Arial" w:cs="Arial"/>
          <w:b/>
          <w:bCs/>
          <w:sz w:val="24"/>
        </w:rPr>
        <w:t>- Release 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1AF3128" w14:textId="0EB20327" w:rsidR="00505BA2" w:rsidRDefault="00FD6A6B" w:rsidP="002D694C">
      <w:r w:rsidRPr="00B71493">
        <w:t xml:space="preserve">In </w:t>
      </w:r>
      <w:r>
        <w:fldChar w:fldCharType="begin"/>
      </w:r>
      <w:r>
        <w:instrText xml:space="preserve"> REF _Ref874777 \r \h </w:instrText>
      </w:r>
      <w:r>
        <w:fldChar w:fldCharType="separate"/>
      </w:r>
      <w:r>
        <w:t>[1]</w:t>
      </w:r>
      <w:r>
        <w:fldChar w:fldCharType="end"/>
      </w:r>
      <w:r>
        <w:t xml:space="preserve"> several companies </w:t>
      </w:r>
      <w:r w:rsidR="00D06BD1">
        <w:t>we</w:t>
      </w:r>
      <w:r>
        <w:t xml:space="preserve">re proposing a common baseline for the conditional handover and after further discussion many proposals </w:t>
      </w:r>
      <w:r w:rsidR="00D06BD1">
        <w:t xml:space="preserve">from </w:t>
      </w:r>
      <w:r w:rsidR="00D06BD1">
        <w:fldChar w:fldCharType="begin"/>
      </w:r>
      <w:r w:rsidR="00D06BD1">
        <w:instrText xml:space="preserve"> REF _Ref4051494 \r \h </w:instrText>
      </w:r>
      <w:r w:rsidR="00D06BD1">
        <w:fldChar w:fldCharType="separate"/>
      </w:r>
      <w:r w:rsidR="00D06BD1">
        <w:t>[2]</w:t>
      </w:r>
      <w:r w:rsidR="00D06BD1">
        <w:fldChar w:fldCharType="end"/>
      </w:r>
      <w:r w:rsidR="00D06BD1">
        <w:t xml:space="preserve"> </w:t>
      </w:r>
      <w:r>
        <w:t>have been agreed</w:t>
      </w:r>
      <w:r w:rsidR="00D06BD1">
        <w:t xml:space="preserve"> at RAN2#105</w:t>
      </w:r>
      <w:r w:rsidR="00505BA2">
        <w:t xml:space="preserve"> </w:t>
      </w:r>
      <w:r w:rsidR="00505BA2">
        <w:fldChar w:fldCharType="begin"/>
      </w:r>
      <w:r w:rsidR="00505BA2">
        <w:instrText xml:space="preserve"> REF _Ref4494920 \r \h </w:instrText>
      </w:r>
      <w:r w:rsidR="00505BA2">
        <w:fldChar w:fldCharType="separate"/>
      </w:r>
      <w:r w:rsidR="00505BA2">
        <w:t>[3]</w:t>
      </w:r>
      <w:r w:rsidR="00505BA2">
        <w:fldChar w:fldCharType="end"/>
      </w:r>
      <w:r w:rsidR="00505BA2">
        <w:t>:</w:t>
      </w:r>
    </w:p>
    <w:tbl>
      <w:tblPr>
        <w:tblStyle w:val="TableGrid"/>
        <w:tblW w:w="0" w:type="auto"/>
        <w:tblLook w:val="04A0" w:firstRow="1" w:lastRow="0" w:firstColumn="1" w:lastColumn="0" w:noHBand="0" w:noVBand="1"/>
      </w:tblPr>
      <w:tblGrid>
        <w:gridCol w:w="9631"/>
      </w:tblGrid>
      <w:tr w:rsidR="006833C3" w14:paraId="3ECD005C" w14:textId="77777777" w:rsidTr="006833C3">
        <w:tc>
          <w:tcPr>
            <w:tcW w:w="9631" w:type="dxa"/>
          </w:tcPr>
          <w:p w14:paraId="76CFE856" w14:textId="77777777" w:rsidR="006833C3" w:rsidRPr="006833C3" w:rsidRDefault="006833C3" w:rsidP="006833C3">
            <w:r w:rsidRPr="006833C3">
              <w:t>Agreements</w:t>
            </w:r>
          </w:p>
          <w:p w14:paraId="21112A2C" w14:textId="77777777" w:rsidR="006833C3" w:rsidRPr="006833C3" w:rsidRDefault="006833C3" w:rsidP="006833C3">
            <w:r w:rsidRPr="006833C3">
              <w:t>1: The baseline operation for E-UTRAN Conditional HO procedure assumes HO command type of message contains HO triggering condition(s) and dedicated RRC configuration(s). UE accesses the prepared target when the relevant condition is met.</w:t>
            </w:r>
          </w:p>
          <w:p w14:paraId="2A8BA870" w14:textId="77777777" w:rsidR="006833C3" w:rsidRPr="006833C3" w:rsidRDefault="006833C3" w:rsidP="006833C3">
            <w:r w:rsidRPr="006833C3">
              <w:t xml:space="preserve">3: The baseline operation for E-UTRAN Conditional HO assumes the source </w:t>
            </w:r>
            <w:proofErr w:type="spellStart"/>
            <w:r w:rsidRPr="006833C3">
              <w:t>eNB</w:t>
            </w:r>
            <w:proofErr w:type="spellEnd"/>
            <w:r w:rsidRPr="006833C3">
              <w:t xml:space="preserve"> remains responsible for RRC until UE successfully sends RRC Connection Reconfiguration Complete message to target </w:t>
            </w:r>
            <w:proofErr w:type="spellStart"/>
            <w:r w:rsidRPr="006833C3">
              <w:t>eNB</w:t>
            </w:r>
            <w:proofErr w:type="spellEnd"/>
            <w:r w:rsidRPr="006833C3">
              <w:t xml:space="preserve">. </w:t>
            </w:r>
          </w:p>
          <w:p w14:paraId="4AC98AFB" w14:textId="77777777" w:rsidR="006833C3" w:rsidRPr="006833C3" w:rsidRDefault="006833C3" w:rsidP="006833C3">
            <w:r w:rsidRPr="006833C3">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14:paraId="41C507E7" w14:textId="07D2BF5B" w:rsidR="006833C3" w:rsidRDefault="006833C3" w:rsidP="002D694C">
            <w:r w:rsidRPr="006833C3">
              <w:t>5: RAN2 will inform the Conditional HO assumptions (including the baseline operation) to RAN3 via LS at RAN#105bis, requesting RAN3 to kindly work on the CHO scheme aspects matching their expertise (e.g. data forwarding).</w:t>
            </w:r>
          </w:p>
        </w:tc>
      </w:tr>
    </w:tbl>
    <w:p w14:paraId="259CA6A6" w14:textId="44A14A56" w:rsidR="00B71493" w:rsidRDefault="006833C3" w:rsidP="002D694C">
      <w:r>
        <w:br/>
      </w:r>
      <w:r w:rsidR="00FD6A6B">
        <w:t xml:space="preserve">In </w:t>
      </w:r>
      <w:r w:rsidR="00FD6A6B">
        <w:fldChar w:fldCharType="begin"/>
      </w:r>
      <w:r w:rsidR="00FD6A6B">
        <w:instrText xml:space="preserve"> REF _Ref4052018 \r \h </w:instrText>
      </w:r>
      <w:r w:rsidR="00FD6A6B">
        <w:fldChar w:fldCharType="separate"/>
      </w:r>
      <w:r>
        <w:t>[4]</w:t>
      </w:r>
      <w:r w:rsidR="00FD6A6B">
        <w:fldChar w:fldCharType="end"/>
      </w:r>
      <w:r w:rsidR="00FD6A6B">
        <w:t xml:space="preserve">, we discuss further aspects which </w:t>
      </w:r>
      <w:proofErr w:type="gramStart"/>
      <w:r w:rsidR="00FD6A6B">
        <w:t>have to</w:t>
      </w:r>
      <w:proofErr w:type="gramEnd"/>
      <w:r w:rsidR="00FD6A6B">
        <w:t xml:space="preserve"> be clarified for a baseline handover. </w:t>
      </w:r>
      <w:r w:rsidR="000E13AB">
        <w:t xml:space="preserve">In this </w:t>
      </w:r>
      <w:r w:rsidR="00D42FAF">
        <w:t>contribution, we discuss possible optimization for further extension of the baseline solution</w:t>
      </w:r>
      <w:r w:rsidR="00FD6A6B">
        <w:t xml:space="preserve"> which are not necessarily mandatory for a first CHO version</w:t>
      </w:r>
      <w:r>
        <w:t xml:space="preserve"> (i.e. in Rel-16)</w:t>
      </w:r>
      <w:r w:rsidR="00D42FAF">
        <w:t>.</w:t>
      </w:r>
    </w:p>
    <w:p w14:paraId="2A51F52E" w14:textId="2279BE61" w:rsidR="00B71493" w:rsidRDefault="00B71493" w:rsidP="00B71493">
      <w:pPr>
        <w:pStyle w:val="Heading1"/>
      </w:pPr>
      <w:r>
        <w:t>2</w:t>
      </w:r>
      <w:r w:rsidRPr="006E13D1">
        <w:tab/>
      </w:r>
      <w:r w:rsidR="00D42FAF">
        <w:t>Optimizations</w:t>
      </w:r>
    </w:p>
    <w:p w14:paraId="0526CA36" w14:textId="1DA35EE1" w:rsidR="00095856" w:rsidRDefault="00D52750" w:rsidP="00095856">
      <w:pPr>
        <w:pStyle w:val="Heading2"/>
      </w:pPr>
      <w:r>
        <w:t>2</w:t>
      </w:r>
      <w:r w:rsidR="00095856">
        <w:t>.</w:t>
      </w:r>
      <w:r w:rsidR="00D13605">
        <w:t>1</w:t>
      </w:r>
      <w:r w:rsidR="00095856">
        <w:tab/>
        <w:t>Bye Messages</w:t>
      </w:r>
    </w:p>
    <w:p w14:paraId="3C28200E" w14:textId="407F28F1" w:rsidR="00095856" w:rsidRDefault="00095856" w:rsidP="00095856">
      <w:pPr>
        <w:jc w:val="both"/>
      </w:pPr>
      <w:r>
        <w:t xml:space="preserve">It has been proposed that the UE sends a short “bye” message to the source cell, when the condition expires, right before the UE accesses the target cell. On one hand, this may significantly help the source cell, e.g. to start data forwarding at the right point in time, or to stop the transmission to the UE. On the other hand, such </w:t>
      </w:r>
      <w:r w:rsidR="00E13FDB">
        <w:t xml:space="preserve">a </w:t>
      </w:r>
      <w:r>
        <w:t xml:space="preserve">“bye” message will have a significant probability of failed reception, since it is done when the UE is already safely inside the target cell; strictly spoken it violates the basic principle of CHO: to temporally separate the RRC procedures in the source cell (HO Command) and the procedures in the target cell (RACH). In other words, we cannot rely on receiving the “bye” message, we always </w:t>
      </w:r>
      <w:proofErr w:type="gramStart"/>
      <w:r>
        <w:t>have to</w:t>
      </w:r>
      <w:proofErr w:type="gramEnd"/>
      <w:r>
        <w:t xml:space="preserve"> consider that this may be rarely received. This fact makes the introduced simplification less valuable.</w:t>
      </w:r>
    </w:p>
    <w:p w14:paraId="36A2075D" w14:textId="759B1897" w:rsidR="00D13605" w:rsidRDefault="00095856" w:rsidP="00095856">
      <w:pPr>
        <w:jc w:val="both"/>
        <w:rPr>
          <w:b/>
        </w:rPr>
      </w:pPr>
      <w:r>
        <w:rPr>
          <w:b/>
        </w:rPr>
        <w:t xml:space="preserve">Observation </w:t>
      </w:r>
      <w:r w:rsidR="00D52750">
        <w:rPr>
          <w:b/>
        </w:rPr>
        <w:t>1</w:t>
      </w:r>
      <w:r>
        <w:rPr>
          <w:b/>
        </w:rPr>
        <w:t xml:space="preserve">: </w:t>
      </w:r>
      <w:r w:rsidR="007B5E0D">
        <w:rPr>
          <w:b/>
        </w:rPr>
        <w:t>A</w:t>
      </w:r>
      <w:r w:rsidR="00D52750">
        <w:rPr>
          <w:b/>
        </w:rPr>
        <w:t xml:space="preserve"> </w:t>
      </w:r>
      <w:r w:rsidR="007B5E0D">
        <w:rPr>
          <w:b/>
        </w:rPr>
        <w:t>“b</w:t>
      </w:r>
      <w:r w:rsidR="00D52750">
        <w:rPr>
          <w:b/>
        </w:rPr>
        <w:t>ye</w:t>
      </w:r>
      <w:r w:rsidR="007B5E0D">
        <w:rPr>
          <w:b/>
        </w:rPr>
        <w:t>”</w:t>
      </w:r>
      <w:r w:rsidR="00D52750">
        <w:rPr>
          <w:b/>
        </w:rPr>
        <w:t xml:space="preserve"> message can help the source cell to </w:t>
      </w:r>
      <w:r w:rsidR="007B5E0D">
        <w:rPr>
          <w:b/>
        </w:rPr>
        <w:t xml:space="preserve">stop transmission and </w:t>
      </w:r>
      <w:r w:rsidR="00D52750">
        <w:rPr>
          <w:b/>
        </w:rPr>
        <w:t>start packet forwarding exactly when needed</w:t>
      </w:r>
      <w:r w:rsidR="00F9284C">
        <w:rPr>
          <w:b/>
        </w:rPr>
        <w:t>.</w:t>
      </w:r>
    </w:p>
    <w:p w14:paraId="3FAD2032" w14:textId="5F6660C4" w:rsidR="00D13605" w:rsidRDefault="00D13605" w:rsidP="00095856">
      <w:pPr>
        <w:jc w:val="both"/>
        <w:rPr>
          <w:b/>
        </w:rPr>
      </w:pPr>
      <w:r>
        <w:rPr>
          <w:b/>
        </w:rPr>
        <w:t>Observation 2:</w:t>
      </w:r>
      <w:r w:rsidR="0042406B">
        <w:rPr>
          <w:b/>
        </w:rPr>
        <w:t xml:space="preserve"> </w:t>
      </w:r>
      <w:r>
        <w:rPr>
          <w:b/>
        </w:rPr>
        <w:t xml:space="preserve">A </w:t>
      </w:r>
      <w:r w:rsidR="00D52750">
        <w:rPr>
          <w:b/>
        </w:rPr>
        <w:t>significant failure probability</w:t>
      </w:r>
      <w:r>
        <w:rPr>
          <w:b/>
        </w:rPr>
        <w:t xml:space="preserve"> is inherent to </w:t>
      </w:r>
      <w:r w:rsidR="00F9284C">
        <w:rPr>
          <w:b/>
        </w:rPr>
        <w:t>“</w:t>
      </w:r>
      <w:r>
        <w:rPr>
          <w:b/>
        </w:rPr>
        <w:t>bye</w:t>
      </w:r>
      <w:r w:rsidR="00F9284C">
        <w:rPr>
          <w:b/>
        </w:rPr>
        <w:t>”</w:t>
      </w:r>
      <w:r>
        <w:rPr>
          <w:b/>
        </w:rPr>
        <w:t xml:space="preserve"> message</w:t>
      </w:r>
      <w:r w:rsidR="00095856">
        <w:rPr>
          <w:b/>
        </w:rPr>
        <w:t xml:space="preserve"> </w:t>
      </w:r>
      <w:r w:rsidR="00D52750">
        <w:rPr>
          <w:b/>
        </w:rPr>
        <w:t xml:space="preserve">and thus </w:t>
      </w:r>
      <w:r w:rsidR="007B5E0D">
        <w:rPr>
          <w:b/>
        </w:rPr>
        <w:t>the source cell</w:t>
      </w:r>
      <w:r w:rsidR="00D52750">
        <w:rPr>
          <w:b/>
        </w:rPr>
        <w:t xml:space="preserve"> cannot rely on receiving it.</w:t>
      </w:r>
      <w:r w:rsidR="007B5E0D">
        <w:rPr>
          <w:b/>
        </w:rPr>
        <w:t xml:space="preserve"> </w:t>
      </w:r>
    </w:p>
    <w:p w14:paraId="6A6299E4" w14:textId="55F52BCF" w:rsidR="00095856" w:rsidRDefault="00D13605" w:rsidP="00095856">
      <w:pPr>
        <w:jc w:val="both"/>
        <w:rPr>
          <w:b/>
        </w:rPr>
      </w:pPr>
      <w:r>
        <w:rPr>
          <w:b/>
        </w:rPr>
        <w:lastRenderedPageBreak/>
        <w:t>Proposal 1:</w:t>
      </w:r>
      <w:r w:rsidR="0042406B">
        <w:rPr>
          <w:b/>
        </w:rPr>
        <w:t xml:space="preserve"> </w:t>
      </w:r>
      <w:r w:rsidR="007B5E0D">
        <w:rPr>
          <w:b/>
        </w:rPr>
        <w:t xml:space="preserve">“bye” message </w:t>
      </w:r>
      <w:r>
        <w:rPr>
          <w:b/>
        </w:rPr>
        <w:t xml:space="preserve">is </w:t>
      </w:r>
      <w:r w:rsidR="007B5E0D">
        <w:rPr>
          <w:b/>
        </w:rPr>
        <w:t>considered as a useful improvement, but not as a baseline</w:t>
      </w:r>
      <w:r>
        <w:rPr>
          <w:b/>
        </w:rPr>
        <w:t xml:space="preserve"> CHO</w:t>
      </w:r>
      <w:r w:rsidR="007B5E0D">
        <w:rPr>
          <w:b/>
        </w:rPr>
        <w:t xml:space="preserve"> procedure.</w:t>
      </w:r>
    </w:p>
    <w:p w14:paraId="63B6B3BE" w14:textId="6B807952" w:rsidR="00095856" w:rsidRPr="00A31E53" w:rsidRDefault="00D52750" w:rsidP="00A31E53">
      <w:pPr>
        <w:pStyle w:val="Heading2"/>
      </w:pPr>
      <w:r w:rsidRPr="00A31E53">
        <w:t>2</w:t>
      </w:r>
      <w:r w:rsidR="00095856" w:rsidRPr="00A31E53">
        <w:t>.</w:t>
      </w:r>
      <w:r w:rsidR="00BB288F" w:rsidRPr="00A31E53">
        <w:t>2</w:t>
      </w:r>
      <w:r w:rsidR="00095856" w:rsidRPr="00A31E53">
        <w:tab/>
        <w:t>Compatibility with close to 0ms interruption</w:t>
      </w:r>
    </w:p>
    <w:p w14:paraId="731A59C9" w14:textId="4FC1EF3A" w:rsidR="00095856" w:rsidRDefault="00095856" w:rsidP="00095856">
      <w:pPr>
        <w:jc w:val="both"/>
      </w:pPr>
      <w:r>
        <w:t>The CHO itself will not improve the interruption time of a successful handover. In some cases, if not configured appropriately, it may even increase the interruption, e.g. if the execution threshold is done too late. Note that such a setting might still be good for robustness (it guarantees that the target is stable) but might be harmful for interruption.</w:t>
      </w:r>
    </w:p>
    <w:p w14:paraId="1094C89D" w14:textId="77777777" w:rsidR="007103BD" w:rsidRDefault="00095856" w:rsidP="007103BD">
      <w:r>
        <w:t>Hence, if we want to have robustness and close to 0ms interruption</w:t>
      </w:r>
      <w:r w:rsidR="003339D8">
        <w:t xml:space="preserve"> at the same time</w:t>
      </w:r>
      <w:r>
        <w:t xml:space="preserve">, we </w:t>
      </w:r>
      <w:proofErr w:type="gramStart"/>
      <w:r>
        <w:t>have to</w:t>
      </w:r>
      <w:proofErr w:type="gramEnd"/>
      <w:r>
        <w:t xml:space="preserve"> consider the compatibility of both solutions.</w:t>
      </w:r>
      <w:r w:rsidR="00A31E53">
        <w:t xml:space="preserve"> We discuss this topic in more detail in </w:t>
      </w:r>
      <w:r w:rsidR="00A31E53">
        <w:fldChar w:fldCharType="begin"/>
      </w:r>
      <w:r w:rsidR="00A31E53">
        <w:instrText xml:space="preserve"> REF _Ref4500833 \r \h </w:instrText>
      </w:r>
      <w:r w:rsidR="007103BD">
        <w:instrText xml:space="preserve"> \* MERGEFORMAT </w:instrText>
      </w:r>
      <w:r w:rsidR="00A31E53">
        <w:fldChar w:fldCharType="separate"/>
      </w:r>
      <w:r w:rsidR="00A31E53">
        <w:t>[5]</w:t>
      </w:r>
      <w:r w:rsidR="00A31E53">
        <w:fldChar w:fldCharType="end"/>
      </w:r>
      <w:r w:rsidR="00A31E53">
        <w:t>.</w:t>
      </w:r>
    </w:p>
    <w:p w14:paraId="1879DA95" w14:textId="47F1569E" w:rsidR="00095856" w:rsidRDefault="00D52750" w:rsidP="007103BD">
      <w:pPr>
        <w:pStyle w:val="Heading2"/>
      </w:pPr>
      <w:r>
        <w:t>2</w:t>
      </w:r>
      <w:r w:rsidR="00095856">
        <w:t>.</w:t>
      </w:r>
      <w:r w:rsidR="00BB288F">
        <w:t>3</w:t>
      </w:r>
      <w:r w:rsidR="00095856">
        <w:tab/>
        <w:t>Improved handling of T310</w:t>
      </w:r>
    </w:p>
    <w:p w14:paraId="15C33496" w14:textId="766DD37F" w:rsidR="00095856" w:rsidRDefault="00095856" w:rsidP="00095856">
      <w:pPr>
        <w:jc w:val="both"/>
      </w:pPr>
      <w:r>
        <w:t>With CHO, it may happen that T310 is started (or even expires) although the UE has been properly configured for target</w:t>
      </w:r>
      <w:r w:rsidR="00BB288F">
        <w:t xml:space="preserve"> candidate</w:t>
      </w:r>
      <w:r>
        <w:t xml:space="preserve"> cell</w:t>
      </w:r>
      <w:r w:rsidR="00BB288F">
        <w:t>s</w:t>
      </w:r>
      <w:r>
        <w:t xml:space="preserve">. This happens when the execution condition is configured late. Allowing T310 to </w:t>
      </w:r>
      <w:r w:rsidR="007B5E0D">
        <w:t>be started</w:t>
      </w:r>
      <w:r>
        <w:t>, or even declaring an RLF seems suboptimal in the presence of a configured target</w:t>
      </w:r>
      <w:r w:rsidR="00BB288F">
        <w:t xml:space="preserve"> cell or cells</w:t>
      </w:r>
      <w:r>
        <w:t xml:space="preserve">. Instead, slight modifications of the baseline behaviour may be helpful, e.g. accessing the target cell although the execution condition has not triggered (instead of </w:t>
      </w:r>
      <w:r w:rsidR="007B5E0D">
        <w:t xml:space="preserve">starting T310 or </w:t>
      </w:r>
      <w:r>
        <w:t xml:space="preserve">initiating RRC connection re-establishment after detecting an RLF). </w:t>
      </w:r>
    </w:p>
    <w:p w14:paraId="7CC529A4" w14:textId="2C42811E" w:rsidR="00095856" w:rsidRDefault="00095856" w:rsidP="00095856">
      <w:pPr>
        <w:jc w:val="both"/>
        <w:rPr>
          <w:b/>
        </w:rPr>
      </w:pPr>
      <w:r>
        <w:rPr>
          <w:b/>
        </w:rPr>
        <w:t xml:space="preserve">Observation </w:t>
      </w:r>
      <w:r w:rsidR="00FD6A6B">
        <w:rPr>
          <w:b/>
        </w:rPr>
        <w:t>3</w:t>
      </w:r>
      <w:r>
        <w:rPr>
          <w:b/>
        </w:rPr>
        <w:t xml:space="preserve">: The design of CHO </w:t>
      </w:r>
      <w:r w:rsidR="007B5E0D">
        <w:rPr>
          <w:b/>
        </w:rPr>
        <w:t>may</w:t>
      </w:r>
      <w:r>
        <w:rPr>
          <w:b/>
        </w:rPr>
        <w:t xml:space="preserve"> consider the behaviour of T310 in the light of </w:t>
      </w:r>
      <w:r w:rsidR="007B5E0D">
        <w:rPr>
          <w:b/>
        </w:rPr>
        <w:t xml:space="preserve">existing </w:t>
      </w:r>
      <w:r>
        <w:rPr>
          <w:b/>
        </w:rPr>
        <w:t>prepared target cell</w:t>
      </w:r>
      <w:r w:rsidR="00BB288F">
        <w:rPr>
          <w:b/>
        </w:rPr>
        <w:t>(</w:t>
      </w:r>
      <w:r w:rsidR="007B5E0D">
        <w:rPr>
          <w:b/>
        </w:rPr>
        <w:t>s</w:t>
      </w:r>
      <w:r w:rsidR="00BB288F">
        <w:rPr>
          <w:b/>
        </w:rPr>
        <w:t>)</w:t>
      </w:r>
      <w:r>
        <w:rPr>
          <w:b/>
        </w:rPr>
        <w:t xml:space="preserve">. </w:t>
      </w:r>
    </w:p>
    <w:p w14:paraId="4081DD7E" w14:textId="7F5B0986" w:rsidR="00FC4D8C" w:rsidRDefault="00FC4D8C" w:rsidP="00FC4D8C">
      <w:pPr>
        <w:pStyle w:val="Heading2"/>
      </w:pPr>
      <w:r>
        <w:t>2.4</w:t>
      </w:r>
      <w:r>
        <w:tab/>
        <w:t>Improved handling of T304</w:t>
      </w:r>
    </w:p>
    <w:p w14:paraId="511B14A5" w14:textId="77777777" w:rsidR="00FC4D8C" w:rsidRDefault="00FC4D8C" w:rsidP="00FC4D8C">
      <w:pPr>
        <w:jc w:val="both"/>
      </w:pPr>
      <w:r>
        <w:t>If, during the execution phase of the CHO (i.e. during random access to a target for which the CHO condition has expired), a RACH problem is encountered, and there are further candidate target cells which have been prepared, it might be better to initiate the execution with another target even though the corresponding condition has not expired, rather than to keep on trying the problematic RACH until T304 expiry. Even if T304 expires, it could be better to initiate CHO execution to other prepared target cells (if exist) instead of initiating RRC connection re-establishment.</w:t>
      </w:r>
    </w:p>
    <w:p w14:paraId="71C7BBBA" w14:textId="2E470FC3" w:rsidR="009D77B7" w:rsidRPr="00DA7580" w:rsidRDefault="00FC4D8C" w:rsidP="003339D8">
      <w:pPr>
        <w:jc w:val="both"/>
        <w:rPr>
          <w:b/>
        </w:rPr>
      </w:pPr>
      <w:r>
        <w:rPr>
          <w:b/>
        </w:rPr>
        <w:t xml:space="preserve">Observation </w:t>
      </w:r>
      <w:r w:rsidR="00FD6A6B">
        <w:rPr>
          <w:b/>
        </w:rPr>
        <w:t>4</w:t>
      </w:r>
      <w:r>
        <w:rPr>
          <w:b/>
        </w:rPr>
        <w:t>: The design of CHO may consider the behaviour when</w:t>
      </w:r>
      <w:r w:rsidR="00F9284C">
        <w:rPr>
          <w:b/>
        </w:rPr>
        <w:t xml:space="preserve"> </w:t>
      </w:r>
      <w:r>
        <w:rPr>
          <w:b/>
        </w:rPr>
        <w:t xml:space="preserve">T304 is running. </w:t>
      </w:r>
    </w:p>
    <w:p w14:paraId="5EDB6265" w14:textId="400732C0" w:rsidR="007070A1" w:rsidRPr="006E13D1" w:rsidRDefault="00476772" w:rsidP="007070A1">
      <w:pPr>
        <w:pStyle w:val="Heading1"/>
      </w:pPr>
      <w:r>
        <w:t>3</w:t>
      </w:r>
      <w:r w:rsidR="007070A1" w:rsidRPr="006E13D1">
        <w:tab/>
      </w:r>
      <w:r w:rsidR="007070A1">
        <w:t>C</w:t>
      </w:r>
      <w:r w:rsidR="003912CB">
        <w:t>onclusions</w:t>
      </w:r>
    </w:p>
    <w:p w14:paraId="0E82DF09" w14:textId="7CB727EB" w:rsidR="00063C02" w:rsidRDefault="008509F3" w:rsidP="00CD4C7B">
      <w:r>
        <w:t>This paper discussed the solutions c</w:t>
      </w:r>
      <w:r w:rsidR="002C7471">
        <w:t>lassified as CHO enhancements (i.e. not essential components of basic CHO solution). As a result, we made the following observations and proposals:</w:t>
      </w:r>
    </w:p>
    <w:p w14:paraId="615AE849" w14:textId="7EA6DA2A" w:rsidR="00550379" w:rsidRDefault="00550379" w:rsidP="00550379">
      <w:pPr>
        <w:jc w:val="both"/>
        <w:rPr>
          <w:b/>
        </w:rPr>
      </w:pPr>
      <w:r>
        <w:rPr>
          <w:b/>
        </w:rPr>
        <w:t>Observation 1: A “bye” message can help the source cell to stop transmission and start packet forwarding exactly when needed</w:t>
      </w:r>
      <w:r w:rsidR="00F9284C">
        <w:rPr>
          <w:b/>
        </w:rPr>
        <w:t>.</w:t>
      </w:r>
    </w:p>
    <w:p w14:paraId="778E17FA" w14:textId="469E184B" w:rsidR="00550379" w:rsidRDefault="00550379" w:rsidP="00550379">
      <w:pPr>
        <w:jc w:val="both"/>
        <w:rPr>
          <w:b/>
        </w:rPr>
      </w:pPr>
      <w:r>
        <w:rPr>
          <w:b/>
        </w:rPr>
        <w:t xml:space="preserve">Observation 2: A significant failure probability is inherent to </w:t>
      </w:r>
      <w:r w:rsidR="00F9284C">
        <w:rPr>
          <w:b/>
        </w:rPr>
        <w:t>“</w:t>
      </w:r>
      <w:r>
        <w:rPr>
          <w:b/>
        </w:rPr>
        <w:t>bye</w:t>
      </w:r>
      <w:r w:rsidR="00F9284C">
        <w:rPr>
          <w:b/>
        </w:rPr>
        <w:t>”</w:t>
      </w:r>
      <w:r>
        <w:rPr>
          <w:b/>
        </w:rPr>
        <w:t xml:space="preserve"> message and thus the source cell cannot rely on receiving it. </w:t>
      </w:r>
    </w:p>
    <w:p w14:paraId="213ABB66" w14:textId="5D99D25F" w:rsidR="00550379" w:rsidRDefault="00550379" w:rsidP="00550379">
      <w:pPr>
        <w:jc w:val="both"/>
        <w:rPr>
          <w:b/>
        </w:rPr>
      </w:pPr>
      <w:r>
        <w:rPr>
          <w:b/>
        </w:rPr>
        <w:t>Proposal 1: “bye” message is considered as a useful improvement, but not as a baseline CHO procedure.</w:t>
      </w:r>
    </w:p>
    <w:p w14:paraId="3C98C54A" w14:textId="56E534CC" w:rsidR="00550379" w:rsidRDefault="00550379" w:rsidP="00550379">
      <w:pPr>
        <w:jc w:val="both"/>
        <w:rPr>
          <w:b/>
        </w:rPr>
      </w:pPr>
      <w:r>
        <w:rPr>
          <w:b/>
        </w:rPr>
        <w:t xml:space="preserve">Observation </w:t>
      </w:r>
      <w:r w:rsidR="00FD6A6B">
        <w:rPr>
          <w:b/>
        </w:rPr>
        <w:t>3</w:t>
      </w:r>
      <w:r>
        <w:rPr>
          <w:b/>
        </w:rPr>
        <w:t xml:space="preserve">: The design of CHO may consider the behaviour of T310 in the light of existing prepared target cell(s). </w:t>
      </w:r>
    </w:p>
    <w:p w14:paraId="55F5E960" w14:textId="32275C2A" w:rsidR="00550379" w:rsidRPr="00DA7580" w:rsidRDefault="00550379" w:rsidP="00550379">
      <w:pPr>
        <w:jc w:val="both"/>
        <w:rPr>
          <w:b/>
        </w:rPr>
      </w:pPr>
      <w:r>
        <w:rPr>
          <w:b/>
        </w:rPr>
        <w:t xml:space="preserve">Observation </w:t>
      </w:r>
      <w:r w:rsidR="00FD6A6B">
        <w:rPr>
          <w:b/>
        </w:rPr>
        <w:t>4</w:t>
      </w:r>
      <w:r>
        <w:rPr>
          <w:b/>
        </w:rPr>
        <w:t xml:space="preserve">: The design of CHO may consider the behaviour whenT304 is running. </w:t>
      </w:r>
    </w:p>
    <w:p w14:paraId="3460D97F" w14:textId="77777777" w:rsidR="00021DD9" w:rsidRPr="006E13D1" w:rsidRDefault="00021DD9" w:rsidP="00021DD9">
      <w:pPr>
        <w:pStyle w:val="Heading1"/>
      </w:pPr>
      <w:r w:rsidRPr="006E13D1">
        <w:t>References</w:t>
      </w:r>
    </w:p>
    <w:p w14:paraId="1577F162" w14:textId="77777777" w:rsidR="00FD6A6B" w:rsidRDefault="00FD6A6B" w:rsidP="00FD6A6B">
      <w:pPr>
        <w:numPr>
          <w:ilvl w:val="0"/>
          <w:numId w:val="4"/>
        </w:numPr>
        <w:overflowPunct w:val="0"/>
        <w:autoSpaceDE w:val="0"/>
        <w:autoSpaceDN w:val="0"/>
        <w:adjustRightInd w:val="0"/>
        <w:textAlignment w:val="baseline"/>
      </w:pPr>
      <w:bookmarkStart w:id="0" w:name="_Ref874777"/>
      <w:bookmarkStart w:id="1" w:name="_Ref535824419"/>
      <w:bookmarkStart w:id="2" w:name="_Ref874297"/>
      <w:bookmarkStart w:id="3" w:name="_Ref75086397"/>
      <w:bookmarkStart w:id="4" w:name="_Ref525555002"/>
      <w:r w:rsidRPr="009005B8">
        <w:t>R2-19</w:t>
      </w:r>
      <w:r>
        <w:t>02254</w:t>
      </w:r>
      <w:r w:rsidRPr="006E13D1">
        <w:t xml:space="preserve"> </w:t>
      </w:r>
      <w:r>
        <w:rPr>
          <w:i/>
        </w:rPr>
        <w:t>Basic</w:t>
      </w:r>
      <w:r w:rsidRPr="00C76B2B">
        <w:rPr>
          <w:i/>
        </w:rPr>
        <w:t xml:space="preserve"> details o</w:t>
      </w:r>
      <w:r>
        <w:rPr>
          <w:i/>
        </w:rPr>
        <w:t>f</w:t>
      </w:r>
      <w:r w:rsidRPr="00C76B2B">
        <w:rPr>
          <w:i/>
        </w:rPr>
        <w:t xml:space="preserve"> Conditional Handover in E-UTRAN</w:t>
      </w:r>
      <w:r>
        <w:t xml:space="preserve"> – Nokia, Nokia Shanghai Bell, Qualcomm Incorporated, ZTE, OPPO, Xiaomi</w:t>
      </w:r>
      <w:r w:rsidRPr="007E608B">
        <w:t>, Charter Communications</w:t>
      </w:r>
      <w:r>
        <w:t>, 3GPP TSG-RAN WG2 Meeting #105 Athens, Greece, 25 Feb - 01 Mar 2019</w:t>
      </w:r>
      <w:bookmarkEnd w:id="0"/>
    </w:p>
    <w:p w14:paraId="3573F9D2" w14:textId="55AF9A9A" w:rsidR="00FD6A6B" w:rsidRDefault="00FD6A6B" w:rsidP="00FD6A6B">
      <w:pPr>
        <w:numPr>
          <w:ilvl w:val="0"/>
          <w:numId w:val="4"/>
        </w:numPr>
        <w:overflowPunct w:val="0"/>
        <w:autoSpaceDE w:val="0"/>
        <w:autoSpaceDN w:val="0"/>
        <w:adjustRightInd w:val="0"/>
        <w:textAlignment w:val="baseline"/>
      </w:pPr>
      <w:bookmarkStart w:id="5" w:name="_Ref4051494"/>
      <w:r w:rsidRPr="009005B8">
        <w:t>R2-19</w:t>
      </w:r>
      <w:r>
        <w:t>02521</w:t>
      </w:r>
      <w:r w:rsidRPr="006E13D1">
        <w:t xml:space="preserve"> </w:t>
      </w:r>
      <w:r w:rsidRPr="007E608B">
        <w:rPr>
          <w:i/>
        </w:rPr>
        <w:t>Report from [Offline-801] Basics of Conditional HO</w:t>
      </w:r>
      <w:r>
        <w:t xml:space="preserve"> – Nokia, Nokia Shanghai Bell, 3GPP TSG-RAN WG2 Meeting #105 Athens, Greece, 25 Feb - 01 Mar 2019</w:t>
      </w:r>
      <w:bookmarkEnd w:id="5"/>
    </w:p>
    <w:p w14:paraId="40F1272F" w14:textId="77777777" w:rsidR="007103BD" w:rsidRDefault="007103BD" w:rsidP="00FD6A6B">
      <w:pPr>
        <w:numPr>
          <w:ilvl w:val="0"/>
          <w:numId w:val="4"/>
        </w:numPr>
        <w:overflowPunct w:val="0"/>
        <w:autoSpaceDE w:val="0"/>
        <w:autoSpaceDN w:val="0"/>
        <w:adjustRightInd w:val="0"/>
        <w:textAlignment w:val="baseline"/>
      </w:pPr>
      <w:bookmarkStart w:id="6" w:name="_Ref4052018"/>
      <w:r w:rsidRPr="007103BD">
        <w:t>R2-1903001 RAN2#105 Meeting Report</w:t>
      </w:r>
    </w:p>
    <w:p w14:paraId="3D43B020" w14:textId="03D5ECFC" w:rsidR="00FD6A6B" w:rsidRDefault="00FD6A6B" w:rsidP="00FD6A6B">
      <w:pPr>
        <w:numPr>
          <w:ilvl w:val="0"/>
          <w:numId w:val="4"/>
        </w:numPr>
        <w:overflowPunct w:val="0"/>
        <w:autoSpaceDE w:val="0"/>
        <w:autoSpaceDN w:val="0"/>
        <w:adjustRightInd w:val="0"/>
        <w:textAlignment w:val="baseline"/>
      </w:pPr>
      <w:bookmarkStart w:id="7" w:name="_GoBack"/>
      <w:bookmarkEnd w:id="7"/>
      <w:r w:rsidRPr="009005B8">
        <w:lastRenderedPageBreak/>
        <w:t>R2-19</w:t>
      </w:r>
      <w:r>
        <w:t>0</w:t>
      </w:r>
      <w:r w:rsidR="007103BD">
        <w:t>4286</w:t>
      </w:r>
      <w:r w:rsidRPr="006E13D1">
        <w:t xml:space="preserve"> </w:t>
      </w:r>
      <w:r w:rsidRPr="00FD6A6B">
        <w:rPr>
          <w:i/>
        </w:rPr>
        <w:t>Further details of Baseline Conditional Handover in E-UTRAN</w:t>
      </w:r>
      <w:r>
        <w:t xml:space="preserve"> – Nokia, Nokia Shanghai Bell, 3GPP TSG-RAN WG2 Meeting #105bis Xian, China, 08 - 12 April 2019</w:t>
      </w:r>
      <w:bookmarkEnd w:id="6"/>
    </w:p>
    <w:p w14:paraId="2077845C" w14:textId="487CF509" w:rsidR="00A31E53" w:rsidRDefault="00A31E53" w:rsidP="00FD6A6B">
      <w:pPr>
        <w:numPr>
          <w:ilvl w:val="0"/>
          <w:numId w:val="4"/>
        </w:numPr>
        <w:overflowPunct w:val="0"/>
        <w:autoSpaceDE w:val="0"/>
        <w:autoSpaceDN w:val="0"/>
        <w:adjustRightInd w:val="0"/>
        <w:textAlignment w:val="baseline"/>
      </w:pPr>
      <w:bookmarkStart w:id="8" w:name="_Ref4500833"/>
      <w:r>
        <w:t>R2-190</w:t>
      </w:r>
      <w:r w:rsidR="007103BD">
        <w:t>4285</w:t>
      </w:r>
      <w:r>
        <w:t xml:space="preserve"> </w:t>
      </w:r>
      <w:r w:rsidRPr="007103BD">
        <w:rPr>
          <w:i/>
        </w:rPr>
        <w:t>Mobility Robustness for Non-Split Bearer Solution</w:t>
      </w:r>
      <w:r>
        <w:t xml:space="preserve"> – Nokia, Nokia Shanghai Bell, 3GPP TSG-RAN WG2 Meeting #105bis Xian, China, 08 - 12 April 2019</w:t>
      </w:r>
      <w:bookmarkEnd w:id="8"/>
    </w:p>
    <w:bookmarkEnd w:id="1"/>
    <w:bookmarkEnd w:id="2"/>
    <w:bookmarkEnd w:id="3"/>
    <w:bookmarkEnd w:id="4"/>
    <w:p w14:paraId="0A6A2DF2" w14:textId="77777777" w:rsidR="003339D8" w:rsidRDefault="003339D8" w:rsidP="00C76B2B">
      <w:pPr>
        <w:overflowPunct w:val="0"/>
        <w:autoSpaceDE w:val="0"/>
        <w:autoSpaceDN w:val="0"/>
        <w:adjustRightInd w:val="0"/>
        <w:textAlignment w:val="baseline"/>
      </w:pPr>
    </w:p>
    <w:sectPr w:rsidR="003339D8" w:rsidSect="00BF1B1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DCFCF" w14:textId="77777777" w:rsidR="009F1858" w:rsidRDefault="009F1858">
      <w:r>
        <w:separator/>
      </w:r>
    </w:p>
  </w:endnote>
  <w:endnote w:type="continuationSeparator" w:id="0">
    <w:p w14:paraId="7A63EF04" w14:textId="77777777" w:rsidR="009F1858" w:rsidRDefault="009F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F243D6" w:rsidRDefault="00F24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F243D6" w:rsidRDefault="00F243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F243D6" w:rsidRDefault="00F24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D62C3" w14:textId="77777777" w:rsidR="009F1858" w:rsidRDefault="009F1858">
      <w:r>
        <w:separator/>
      </w:r>
    </w:p>
  </w:footnote>
  <w:footnote w:type="continuationSeparator" w:id="0">
    <w:p w14:paraId="3ED31C6E" w14:textId="77777777" w:rsidR="009F1858" w:rsidRDefault="009F1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F243D6" w:rsidRDefault="00F24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F243D6" w:rsidRDefault="00F24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F243D6" w:rsidRDefault="00F24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C40E2B"/>
    <w:multiLevelType w:val="hybridMultilevel"/>
    <w:tmpl w:val="6A2EED48"/>
    <w:lvl w:ilvl="0" w:tplc="5AC0D60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B1679F"/>
    <w:multiLevelType w:val="hybridMultilevel"/>
    <w:tmpl w:val="7C9E1A92"/>
    <w:lvl w:ilvl="0" w:tplc="177A06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61B"/>
    <w:rsid w:val="00021BEB"/>
    <w:rsid w:val="00021DD9"/>
    <w:rsid w:val="00033397"/>
    <w:rsid w:val="00040095"/>
    <w:rsid w:val="00054FC9"/>
    <w:rsid w:val="00063C02"/>
    <w:rsid w:val="00080512"/>
    <w:rsid w:val="0008251E"/>
    <w:rsid w:val="00090468"/>
    <w:rsid w:val="00095856"/>
    <w:rsid w:val="000B7BCF"/>
    <w:rsid w:val="000C008C"/>
    <w:rsid w:val="000C522B"/>
    <w:rsid w:val="000D58AB"/>
    <w:rsid w:val="000E13AB"/>
    <w:rsid w:val="001109C8"/>
    <w:rsid w:val="00112F1A"/>
    <w:rsid w:val="00116974"/>
    <w:rsid w:val="00134ADC"/>
    <w:rsid w:val="00145075"/>
    <w:rsid w:val="0014585D"/>
    <w:rsid w:val="00171701"/>
    <w:rsid w:val="001741A0"/>
    <w:rsid w:val="00175FA0"/>
    <w:rsid w:val="00194CD0"/>
    <w:rsid w:val="001A7D54"/>
    <w:rsid w:val="001B42C7"/>
    <w:rsid w:val="001B49C9"/>
    <w:rsid w:val="001C4F79"/>
    <w:rsid w:val="001D274A"/>
    <w:rsid w:val="001E628C"/>
    <w:rsid w:val="001F168B"/>
    <w:rsid w:val="001F7831"/>
    <w:rsid w:val="00204045"/>
    <w:rsid w:val="0020606E"/>
    <w:rsid w:val="0020712B"/>
    <w:rsid w:val="0021417E"/>
    <w:rsid w:val="0022606D"/>
    <w:rsid w:val="00231728"/>
    <w:rsid w:val="00231804"/>
    <w:rsid w:val="002610D8"/>
    <w:rsid w:val="00273840"/>
    <w:rsid w:val="002747EC"/>
    <w:rsid w:val="002855BF"/>
    <w:rsid w:val="002A1CE9"/>
    <w:rsid w:val="002C7471"/>
    <w:rsid w:val="002D1A78"/>
    <w:rsid w:val="002D694C"/>
    <w:rsid w:val="002F0D22"/>
    <w:rsid w:val="002F42E5"/>
    <w:rsid w:val="003172DC"/>
    <w:rsid w:val="00325AE3"/>
    <w:rsid w:val="00326069"/>
    <w:rsid w:val="003339D8"/>
    <w:rsid w:val="0035462D"/>
    <w:rsid w:val="00364B41"/>
    <w:rsid w:val="00383C5A"/>
    <w:rsid w:val="003912CB"/>
    <w:rsid w:val="003A41EF"/>
    <w:rsid w:val="003A6B2A"/>
    <w:rsid w:val="003B40AD"/>
    <w:rsid w:val="003C1827"/>
    <w:rsid w:val="003C4E37"/>
    <w:rsid w:val="003D38F4"/>
    <w:rsid w:val="003E16BE"/>
    <w:rsid w:val="003F4E28"/>
    <w:rsid w:val="004006E8"/>
    <w:rsid w:val="00401855"/>
    <w:rsid w:val="00413B83"/>
    <w:rsid w:val="00415A0B"/>
    <w:rsid w:val="0042406B"/>
    <w:rsid w:val="00453CE6"/>
    <w:rsid w:val="00465587"/>
    <w:rsid w:val="00476772"/>
    <w:rsid w:val="00477455"/>
    <w:rsid w:val="004A1F7B"/>
    <w:rsid w:val="004A6E08"/>
    <w:rsid w:val="004C44D2"/>
    <w:rsid w:val="004D3578"/>
    <w:rsid w:val="004D380D"/>
    <w:rsid w:val="004D3D5C"/>
    <w:rsid w:val="004D67B7"/>
    <w:rsid w:val="004E213A"/>
    <w:rsid w:val="00500E35"/>
    <w:rsid w:val="00503171"/>
    <w:rsid w:val="00505BA2"/>
    <w:rsid w:val="00506C28"/>
    <w:rsid w:val="00534DA0"/>
    <w:rsid w:val="00535B46"/>
    <w:rsid w:val="00543E6C"/>
    <w:rsid w:val="00550379"/>
    <w:rsid w:val="0056065F"/>
    <w:rsid w:val="00565087"/>
    <w:rsid w:val="0056573F"/>
    <w:rsid w:val="005E17C6"/>
    <w:rsid w:val="00611566"/>
    <w:rsid w:val="00646D99"/>
    <w:rsid w:val="00656910"/>
    <w:rsid w:val="00674E86"/>
    <w:rsid w:val="006833C3"/>
    <w:rsid w:val="006B08A7"/>
    <w:rsid w:val="006C66D8"/>
    <w:rsid w:val="006D1E24"/>
    <w:rsid w:val="006E1417"/>
    <w:rsid w:val="006F6A2C"/>
    <w:rsid w:val="00704730"/>
    <w:rsid w:val="007070A1"/>
    <w:rsid w:val="007071D8"/>
    <w:rsid w:val="00710201"/>
    <w:rsid w:val="007103BD"/>
    <w:rsid w:val="0072436A"/>
    <w:rsid w:val="007342B5"/>
    <w:rsid w:val="00734A5B"/>
    <w:rsid w:val="00744E76"/>
    <w:rsid w:val="00745D1D"/>
    <w:rsid w:val="00752222"/>
    <w:rsid w:val="00757D40"/>
    <w:rsid w:val="0076184D"/>
    <w:rsid w:val="0076218A"/>
    <w:rsid w:val="007647C9"/>
    <w:rsid w:val="00780A21"/>
    <w:rsid w:val="00781F0F"/>
    <w:rsid w:val="007845A6"/>
    <w:rsid w:val="0078727C"/>
    <w:rsid w:val="0079049D"/>
    <w:rsid w:val="00793DC5"/>
    <w:rsid w:val="007A5929"/>
    <w:rsid w:val="007B18D8"/>
    <w:rsid w:val="007B5E0D"/>
    <w:rsid w:val="007B74A2"/>
    <w:rsid w:val="007C095F"/>
    <w:rsid w:val="007C2DD0"/>
    <w:rsid w:val="008028A4"/>
    <w:rsid w:val="00813245"/>
    <w:rsid w:val="00815AC2"/>
    <w:rsid w:val="00817D2F"/>
    <w:rsid w:val="008509F3"/>
    <w:rsid w:val="00853B79"/>
    <w:rsid w:val="008768CA"/>
    <w:rsid w:val="00877EF9"/>
    <w:rsid w:val="00880559"/>
    <w:rsid w:val="008867F4"/>
    <w:rsid w:val="008B5306"/>
    <w:rsid w:val="008D2E4D"/>
    <w:rsid w:val="008E2AE4"/>
    <w:rsid w:val="008F396F"/>
    <w:rsid w:val="0090271F"/>
    <w:rsid w:val="00902DB9"/>
    <w:rsid w:val="0090466A"/>
    <w:rsid w:val="00924DBD"/>
    <w:rsid w:val="00936071"/>
    <w:rsid w:val="00940212"/>
    <w:rsid w:val="00942EC2"/>
    <w:rsid w:val="009534C2"/>
    <w:rsid w:val="00961B32"/>
    <w:rsid w:val="00962509"/>
    <w:rsid w:val="00970BCB"/>
    <w:rsid w:val="00970D44"/>
    <w:rsid w:val="00970DB3"/>
    <w:rsid w:val="00974BB0"/>
    <w:rsid w:val="009763D6"/>
    <w:rsid w:val="009A0AF3"/>
    <w:rsid w:val="009B07CD"/>
    <w:rsid w:val="009C19E9"/>
    <w:rsid w:val="009D74A6"/>
    <w:rsid w:val="009D77B7"/>
    <w:rsid w:val="009F1858"/>
    <w:rsid w:val="00A10F02"/>
    <w:rsid w:val="00A204CA"/>
    <w:rsid w:val="00A250A7"/>
    <w:rsid w:val="00A31E53"/>
    <w:rsid w:val="00A53724"/>
    <w:rsid w:val="00A82346"/>
    <w:rsid w:val="00A9671C"/>
    <w:rsid w:val="00AA1553"/>
    <w:rsid w:val="00AA7061"/>
    <w:rsid w:val="00AC251F"/>
    <w:rsid w:val="00B05380"/>
    <w:rsid w:val="00B05962"/>
    <w:rsid w:val="00B15449"/>
    <w:rsid w:val="00B27303"/>
    <w:rsid w:val="00B47FD1"/>
    <w:rsid w:val="00B516BB"/>
    <w:rsid w:val="00B71493"/>
    <w:rsid w:val="00B75D2A"/>
    <w:rsid w:val="00B84DB2"/>
    <w:rsid w:val="00BB288F"/>
    <w:rsid w:val="00BC2862"/>
    <w:rsid w:val="00BC3555"/>
    <w:rsid w:val="00BF1B1C"/>
    <w:rsid w:val="00C00C44"/>
    <w:rsid w:val="00C12B51"/>
    <w:rsid w:val="00C16C24"/>
    <w:rsid w:val="00C21E01"/>
    <w:rsid w:val="00C24650"/>
    <w:rsid w:val="00C25465"/>
    <w:rsid w:val="00C33079"/>
    <w:rsid w:val="00C55AFE"/>
    <w:rsid w:val="00C61E0E"/>
    <w:rsid w:val="00C76B2B"/>
    <w:rsid w:val="00C83A13"/>
    <w:rsid w:val="00C9068C"/>
    <w:rsid w:val="00C91DE5"/>
    <w:rsid w:val="00C92967"/>
    <w:rsid w:val="00CA3D0C"/>
    <w:rsid w:val="00CA654B"/>
    <w:rsid w:val="00CB72B8"/>
    <w:rsid w:val="00CD4C7B"/>
    <w:rsid w:val="00CF1B30"/>
    <w:rsid w:val="00D06BD1"/>
    <w:rsid w:val="00D13605"/>
    <w:rsid w:val="00D24857"/>
    <w:rsid w:val="00D33BE3"/>
    <w:rsid w:val="00D36331"/>
    <w:rsid w:val="00D3792D"/>
    <w:rsid w:val="00D42FAF"/>
    <w:rsid w:val="00D52750"/>
    <w:rsid w:val="00D55E47"/>
    <w:rsid w:val="00D56BB5"/>
    <w:rsid w:val="00D62E19"/>
    <w:rsid w:val="00D67CD1"/>
    <w:rsid w:val="00D738D6"/>
    <w:rsid w:val="00D80795"/>
    <w:rsid w:val="00D854BE"/>
    <w:rsid w:val="00D87E00"/>
    <w:rsid w:val="00D9134D"/>
    <w:rsid w:val="00D96D11"/>
    <w:rsid w:val="00DA664A"/>
    <w:rsid w:val="00DA7580"/>
    <w:rsid w:val="00DA7A03"/>
    <w:rsid w:val="00DB0DB8"/>
    <w:rsid w:val="00DB1818"/>
    <w:rsid w:val="00DB441C"/>
    <w:rsid w:val="00DC309B"/>
    <w:rsid w:val="00DC4DA2"/>
    <w:rsid w:val="00E1197A"/>
    <w:rsid w:val="00E13FDB"/>
    <w:rsid w:val="00E4079B"/>
    <w:rsid w:val="00E46C08"/>
    <w:rsid w:val="00E471CF"/>
    <w:rsid w:val="00E524D9"/>
    <w:rsid w:val="00E62835"/>
    <w:rsid w:val="00E76B0E"/>
    <w:rsid w:val="00E77645"/>
    <w:rsid w:val="00E83697"/>
    <w:rsid w:val="00EA54B7"/>
    <w:rsid w:val="00EC4A25"/>
    <w:rsid w:val="00F025A2"/>
    <w:rsid w:val="00F07388"/>
    <w:rsid w:val="00F2026E"/>
    <w:rsid w:val="00F2210A"/>
    <w:rsid w:val="00F243D6"/>
    <w:rsid w:val="00F37743"/>
    <w:rsid w:val="00F4462B"/>
    <w:rsid w:val="00F458DC"/>
    <w:rsid w:val="00F515F9"/>
    <w:rsid w:val="00F54A3D"/>
    <w:rsid w:val="00F54CB0"/>
    <w:rsid w:val="00F5556A"/>
    <w:rsid w:val="00F653B8"/>
    <w:rsid w:val="00F71B89"/>
    <w:rsid w:val="00F7353C"/>
    <w:rsid w:val="00F76F8F"/>
    <w:rsid w:val="00F84ED3"/>
    <w:rsid w:val="00F9284C"/>
    <w:rsid w:val="00F941DF"/>
    <w:rsid w:val="00FA1266"/>
    <w:rsid w:val="00FA1F60"/>
    <w:rsid w:val="00FA4528"/>
    <w:rsid w:val="00FB36FA"/>
    <w:rsid w:val="00FC1192"/>
    <w:rsid w:val="00FC4D8C"/>
    <w:rsid w:val="00FC6B43"/>
    <w:rsid w:val="00FD6A6B"/>
    <w:rsid w:val="00FE251B"/>
    <w:rsid w:val="261989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45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3B79"/>
    <w:pPr>
      <w:ind w:left="720"/>
      <w:contextualSpacing/>
    </w:pPr>
  </w:style>
  <w:style w:type="character" w:styleId="CommentReference">
    <w:name w:val="annotation reference"/>
    <w:basedOn w:val="DefaultParagraphFont"/>
    <w:rsid w:val="00780A21"/>
    <w:rPr>
      <w:sz w:val="16"/>
      <w:szCs w:val="16"/>
    </w:rPr>
  </w:style>
  <w:style w:type="paragraph" w:styleId="CommentText">
    <w:name w:val="annotation text"/>
    <w:basedOn w:val="Normal"/>
    <w:link w:val="CommentTextChar"/>
    <w:rsid w:val="00780A21"/>
  </w:style>
  <w:style w:type="character" w:customStyle="1" w:styleId="CommentTextChar">
    <w:name w:val="Comment Text Char"/>
    <w:basedOn w:val="DefaultParagraphFont"/>
    <w:link w:val="CommentText"/>
    <w:rsid w:val="00780A21"/>
    <w:rPr>
      <w:lang w:eastAsia="en-US"/>
    </w:rPr>
  </w:style>
  <w:style w:type="paragraph" w:styleId="CommentSubject">
    <w:name w:val="annotation subject"/>
    <w:basedOn w:val="CommentText"/>
    <w:next w:val="CommentText"/>
    <w:link w:val="CommentSubjectChar"/>
    <w:rsid w:val="00780A21"/>
    <w:rPr>
      <w:b/>
      <w:bCs/>
    </w:rPr>
  </w:style>
  <w:style w:type="character" w:customStyle="1" w:styleId="CommentSubjectChar">
    <w:name w:val="Comment Subject Char"/>
    <w:basedOn w:val="CommentTextChar"/>
    <w:link w:val="CommentSubject"/>
    <w:rsid w:val="00780A21"/>
    <w:rPr>
      <w:b/>
      <w:bCs/>
      <w:lang w:eastAsia="en-US"/>
    </w:rPr>
  </w:style>
  <w:style w:type="character" w:customStyle="1" w:styleId="Heading2Char">
    <w:name w:val="Heading 2 Char"/>
    <w:basedOn w:val="DefaultParagraphFont"/>
    <w:link w:val="Heading2"/>
    <w:rsid w:val="0009585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537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531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5AIRPNAIUNRU-859666464-4850</_dlc_DocId>
    <_dlc_DocIdUrl xmlns="71c5aaf6-e6ce-465b-b873-5148d2a4c105">
      <Url>https://nokia.sharepoint.com/sites/c5g/e2earch/_layouts/15/DocIdRedir.aspx?ID=5AIRPNAIUNRU-859666464-4850</Url>
      <Description>5AIRPNAIUNRU-859666464-4850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83f22d2f-d16e-4be6-ad4f-29fa0b067c3c"/>
    <ds:schemaRef ds:uri="a3840f4f-04be-43d1-b2ef-6ff1382503c7"/>
    <ds:schemaRef ds:uri="3b34c8f0-1ef5-4d1e-bb66-517ce7fe7356"/>
    <ds:schemaRef ds:uri="http://www.w3.org/XML/1998/namespace"/>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4ABF9955-782C-494E-8E93-031E0C062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TotalTime>
  <Pages>3</Pages>
  <Words>1032</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lastModifiedBy>Nokia</cp:lastModifiedBy>
  <cp:revision>6</cp:revision>
  <dcterms:created xsi:type="dcterms:W3CDTF">2019-03-26T11:34:00Z</dcterms:created>
  <dcterms:modified xsi:type="dcterms:W3CDTF">2019-03-28T16:53:00Z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4668b04b-343b-47c2-8361-946d6c571aa6</vt:lpwstr>
  </property>
  <property fmtid="{D5CDD505-2E9C-101B-9397-08002B2CF9AE}" pid="4" name="AuthorIds_UIVersion_4608">
    <vt:lpwstr>723</vt:lpwstr>
  </property>
  <property fmtid="{D5CDD505-2E9C-101B-9397-08002B2CF9AE}" pid="5" name="AuthorIds_UIVersion_5120">
    <vt:lpwstr>723</vt:lpwstr>
  </property>
  <property fmtid="{D5CDD505-2E9C-101B-9397-08002B2CF9AE}" pid="6" name="AuthorIds_UIVersion_1536">
    <vt:lpwstr>723</vt:lpwstr>
  </property>
  <property fmtid="{D5CDD505-2E9C-101B-9397-08002B2CF9AE}" pid="7" name="AuthorIds_UIVersion_3072">
    <vt:lpwstr>723</vt:lpwstr>
  </property>
</Properties>
</file>